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F4" w:rsidRPr="004C30BF" w:rsidRDefault="007F76F4" w:rsidP="007F76F4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0" w:name="_Toc393960155"/>
      <w:bookmarkStart w:id="1" w:name="_Toc428172740"/>
      <w:bookmarkStart w:id="2" w:name="_Toc428172896"/>
      <w:bookmarkStart w:id="3" w:name="_Toc428172914"/>
      <w:bookmarkStart w:id="4" w:name="_Toc428173308"/>
      <w:bookmarkStart w:id="5" w:name="_Toc428174817"/>
      <w:bookmarkStart w:id="6" w:name="_Toc428175420"/>
      <w:r w:rsidRPr="004C30BF">
        <w:rPr>
          <w:rFonts w:ascii="Times New Roman" w:hAnsi="Times New Roman"/>
          <w:sz w:val="28"/>
          <w:szCs w:val="28"/>
        </w:rPr>
        <w:t>ZASADY ZNAKOWANIA I UTRWALANIA PREPARATÓW CYTOLOGICZNYCH</w:t>
      </w:r>
      <w:bookmarkEnd w:id="0"/>
      <w:bookmarkEnd w:id="1"/>
      <w:bookmarkEnd w:id="2"/>
      <w:bookmarkEnd w:id="3"/>
      <w:bookmarkEnd w:id="4"/>
      <w:bookmarkEnd w:id="5"/>
      <w:bookmarkEnd w:id="6"/>
    </w:p>
    <w:p w:rsidR="007F76F4" w:rsidRPr="000C5E6E" w:rsidRDefault="007F76F4" w:rsidP="007F76F4">
      <w:pPr>
        <w:spacing w:line="360" w:lineRule="auto"/>
        <w:jc w:val="center"/>
      </w:pPr>
      <w:r w:rsidRPr="000C5E6E">
        <w:t>(cytologia ginekologiczna)</w:t>
      </w:r>
    </w:p>
    <w:p w:rsidR="007F76F4" w:rsidRPr="000C5E6E" w:rsidRDefault="007F76F4" w:rsidP="007F76F4">
      <w:pPr>
        <w:spacing w:line="360" w:lineRule="auto"/>
      </w:pPr>
    </w:p>
    <w:p w:rsidR="007F76F4" w:rsidRDefault="007F76F4" w:rsidP="007F76F4">
      <w:pPr>
        <w:numPr>
          <w:ilvl w:val="0"/>
          <w:numId w:val="3"/>
        </w:numPr>
        <w:rPr>
          <w:b/>
        </w:rPr>
      </w:pPr>
      <w:r w:rsidRPr="000C5E6E">
        <w:rPr>
          <w:b/>
        </w:rPr>
        <w:t>Znako</w:t>
      </w:r>
      <w:r>
        <w:rPr>
          <w:b/>
        </w:rPr>
        <w:t>wanie preparatów cytologicznych</w:t>
      </w:r>
    </w:p>
    <w:p w:rsidR="007F76F4" w:rsidRPr="000C5E6E" w:rsidRDefault="007F76F4" w:rsidP="007F76F4">
      <w:pPr>
        <w:ind w:left="1080"/>
        <w:rPr>
          <w:b/>
        </w:rPr>
      </w:pPr>
    </w:p>
    <w:p w:rsidR="007F76F4" w:rsidRDefault="007F76F4" w:rsidP="007F76F4">
      <w:pPr>
        <w:numPr>
          <w:ilvl w:val="0"/>
          <w:numId w:val="1"/>
        </w:numPr>
        <w:contextualSpacing/>
        <w:jc w:val="both"/>
      </w:pPr>
      <w:r w:rsidRPr="000C5E6E">
        <w:t>Skierowanie musi mieć wypełnione wszystkie rubryki zgodnie ze wzorcem, w tym: dane pacjenta, dane kliniczne, inne istotne dane oraz identyfikator placówki i dane lekarza kierującego na badanie.</w:t>
      </w:r>
    </w:p>
    <w:p w:rsidR="007F76F4" w:rsidRPr="000C5E6E" w:rsidRDefault="007F76F4" w:rsidP="007F76F4">
      <w:pPr>
        <w:ind w:left="720"/>
        <w:contextualSpacing/>
        <w:jc w:val="both"/>
      </w:pPr>
    </w:p>
    <w:p w:rsidR="007F76F4" w:rsidRDefault="007F76F4" w:rsidP="007F76F4">
      <w:pPr>
        <w:numPr>
          <w:ilvl w:val="0"/>
          <w:numId w:val="1"/>
        </w:numPr>
        <w:ind w:hanging="436"/>
        <w:contextualSpacing/>
        <w:jc w:val="both"/>
      </w:pPr>
      <w:r w:rsidRPr="000C5E6E">
        <w:t xml:space="preserve">Dane identyfikacyjne umieszczone na szkiełku muszą być identyczne jak dane identyfikacyjne pacjenta umieszczone na skierowaniu załączonym do przesłanego materiału. </w:t>
      </w:r>
    </w:p>
    <w:p w:rsidR="007F76F4" w:rsidRPr="000C5E6E" w:rsidRDefault="007F76F4" w:rsidP="007F76F4">
      <w:pPr>
        <w:contextualSpacing/>
        <w:jc w:val="both"/>
      </w:pPr>
    </w:p>
    <w:p w:rsidR="007F76F4" w:rsidRDefault="007F76F4" w:rsidP="007F76F4">
      <w:pPr>
        <w:numPr>
          <w:ilvl w:val="0"/>
          <w:numId w:val="1"/>
        </w:numPr>
        <w:ind w:hanging="436"/>
        <w:contextualSpacing/>
      </w:pPr>
      <w:r w:rsidRPr="000C5E6E">
        <w:t>Preparaty cytologiczne należy pobierać na szkiełka podstawowe z polem do opisu (matowe).</w:t>
      </w:r>
    </w:p>
    <w:p w:rsidR="007F76F4" w:rsidRPr="000C5E6E" w:rsidRDefault="007F76F4" w:rsidP="007F76F4">
      <w:pPr>
        <w:contextualSpacing/>
      </w:pPr>
    </w:p>
    <w:p w:rsidR="007F76F4" w:rsidRPr="000C5E6E" w:rsidRDefault="007F76F4" w:rsidP="007F76F4">
      <w:pPr>
        <w:numPr>
          <w:ilvl w:val="0"/>
          <w:numId w:val="1"/>
        </w:numPr>
        <w:ind w:hanging="436"/>
        <w:contextualSpacing/>
        <w:rPr>
          <w:caps/>
        </w:rPr>
      </w:pPr>
      <w:r w:rsidRPr="000C5E6E">
        <w:t xml:space="preserve">Opis należy wykonywać zwykłym ołówkiem o twardości B lub HB </w:t>
      </w:r>
    </w:p>
    <w:p w:rsidR="007F76F4" w:rsidRPr="000C5E6E" w:rsidRDefault="007F76F4" w:rsidP="007F76F4">
      <w:pPr>
        <w:spacing w:line="360" w:lineRule="auto"/>
        <w:rPr>
          <w:caps/>
        </w:rPr>
      </w:pPr>
    </w:p>
    <w:p w:rsidR="007F76F4" w:rsidRPr="000C5E6E" w:rsidRDefault="007F76F4" w:rsidP="007F76F4">
      <w:pPr>
        <w:spacing w:line="360" w:lineRule="auto"/>
        <w:jc w:val="center"/>
        <w:rPr>
          <w:b/>
          <w:caps/>
        </w:rPr>
      </w:pPr>
      <w:r w:rsidRPr="000C5E6E">
        <w:rPr>
          <w:b/>
          <w:caps/>
        </w:rPr>
        <w:t>nie wolno stosować tuszu, pisaków czy naklejać samoprzylepnych naklejek- odczynniki stosowane w procesie barwienia niszczą takie oznakowanie</w:t>
      </w:r>
    </w:p>
    <w:p w:rsidR="007F76F4" w:rsidRPr="000C5E6E" w:rsidRDefault="007F76F4" w:rsidP="007F76F4">
      <w:pPr>
        <w:spacing w:line="360" w:lineRule="auto"/>
        <w:jc w:val="center"/>
        <w:rPr>
          <w:caps/>
        </w:rPr>
      </w:pPr>
    </w:p>
    <w:p w:rsidR="007F76F4" w:rsidRDefault="007F76F4" w:rsidP="007F76F4">
      <w:pPr>
        <w:numPr>
          <w:ilvl w:val="0"/>
          <w:numId w:val="1"/>
        </w:numPr>
        <w:ind w:left="714" w:hanging="430"/>
        <w:contextualSpacing/>
        <w:jc w:val="both"/>
      </w:pPr>
      <w:r w:rsidRPr="000C5E6E">
        <w:t>Opis musi zawierać dane pozwalające na bezbłędne zidentyfikowanie pacjenta (może to by nazwisko i imię, numer itp.) W przypadku stosowania danych personalnych należy dodać także datę urodzenia w celu uniknięcia możliwości pomyłki w przypadku dwóch osób o takich samych nazwiskach. Preferowanym sposobem jest umieszczanie na preparacie numeru oraz identyfikatora placówki pobierającej.</w:t>
      </w:r>
    </w:p>
    <w:p w:rsidR="007F76F4" w:rsidRPr="000C5E6E" w:rsidRDefault="007F76F4" w:rsidP="007F76F4">
      <w:pPr>
        <w:ind w:left="714"/>
        <w:contextualSpacing/>
        <w:jc w:val="both"/>
      </w:pPr>
    </w:p>
    <w:p w:rsidR="007F76F4" w:rsidRPr="000C5E6E" w:rsidRDefault="007F76F4" w:rsidP="007F76F4">
      <w:pPr>
        <w:numPr>
          <w:ilvl w:val="0"/>
          <w:numId w:val="1"/>
        </w:numPr>
        <w:ind w:left="714" w:hanging="430"/>
        <w:contextualSpacing/>
        <w:jc w:val="both"/>
      </w:pPr>
      <w:r w:rsidRPr="000C5E6E">
        <w:t>Źle oznaczone lub nieoznaczone preparaty będą odsyłane do placówki pobierającej materiał do badania.</w:t>
      </w:r>
    </w:p>
    <w:p w:rsidR="007F76F4" w:rsidRPr="000C5E6E" w:rsidRDefault="007F76F4" w:rsidP="007F76F4">
      <w:pPr>
        <w:spacing w:line="360" w:lineRule="auto"/>
        <w:jc w:val="both"/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</w:p>
    <w:p w:rsidR="007F76F4" w:rsidRDefault="007F76F4" w:rsidP="007F76F4">
      <w:pPr>
        <w:spacing w:line="360" w:lineRule="auto"/>
        <w:rPr>
          <w:b/>
        </w:rPr>
      </w:pPr>
      <w:r w:rsidRPr="000C5E6E">
        <w:rPr>
          <w:b/>
        </w:rPr>
        <w:t>II. Utrwalanie rozmazów</w:t>
      </w:r>
    </w:p>
    <w:p w:rsidR="007F76F4" w:rsidRPr="000C5E6E" w:rsidRDefault="007F76F4" w:rsidP="007F76F4">
      <w:pPr>
        <w:spacing w:line="360" w:lineRule="auto"/>
        <w:rPr>
          <w:b/>
        </w:rPr>
      </w:pPr>
    </w:p>
    <w:p w:rsidR="007F76F4" w:rsidRPr="000C5E6E" w:rsidRDefault="007F76F4" w:rsidP="007F76F4">
      <w:pPr>
        <w:spacing w:line="360" w:lineRule="auto"/>
        <w:jc w:val="center"/>
        <w:rPr>
          <w:b/>
          <w:caps/>
        </w:rPr>
      </w:pPr>
      <w:r w:rsidRPr="000C5E6E">
        <w:rPr>
          <w:b/>
          <w:caps/>
        </w:rPr>
        <w:t>Rozmaz należy utrwalić bezpośrednio po pobraniu!!!</w:t>
      </w:r>
    </w:p>
    <w:p w:rsidR="007F76F4" w:rsidRPr="000C5E6E" w:rsidRDefault="007F76F4" w:rsidP="007F76F4">
      <w:pPr>
        <w:spacing w:line="360" w:lineRule="auto"/>
        <w:jc w:val="center"/>
        <w:rPr>
          <w:b/>
          <w:caps/>
        </w:rPr>
      </w:pPr>
      <w:r w:rsidRPr="000C5E6E">
        <w:rPr>
          <w:b/>
          <w:caps/>
        </w:rPr>
        <w:t>Rozmazy wysychają bardzo szybko!!!</w:t>
      </w:r>
    </w:p>
    <w:p w:rsidR="007F76F4" w:rsidRPr="000C5E6E" w:rsidRDefault="007F76F4" w:rsidP="007F76F4">
      <w:pPr>
        <w:spacing w:line="360" w:lineRule="auto"/>
        <w:jc w:val="center"/>
        <w:rPr>
          <w:b/>
          <w:caps/>
        </w:rPr>
      </w:pPr>
      <w:r w:rsidRPr="000C5E6E">
        <w:rPr>
          <w:b/>
          <w:caps/>
        </w:rPr>
        <w:t xml:space="preserve">Preparaty nieprawidłowo utrwalone źle lub wcale nie wychwytują barwnika </w:t>
      </w:r>
    </w:p>
    <w:p w:rsidR="007F76F4" w:rsidRPr="000C5E6E" w:rsidRDefault="007F76F4" w:rsidP="007F76F4">
      <w:pPr>
        <w:spacing w:line="360" w:lineRule="auto"/>
        <w:jc w:val="center"/>
        <w:rPr>
          <w:b/>
          <w:caps/>
        </w:rPr>
      </w:pPr>
      <w:r w:rsidRPr="000C5E6E">
        <w:rPr>
          <w:b/>
          <w:caps/>
        </w:rPr>
        <w:t>może to prowadzić do błędnych wyników.</w:t>
      </w:r>
    </w:p>
    <w:p w:rsidR="007F76F4" w:rsidRPr="0073629B" w:rsidRDefault="007F76F4" w:rsidP="007F76F4">
      <w:pPr>
        <w:spacing w:line="360" w:lineRule="auto"/>
        <w:rPr>
          <w:sz w:val="10"/>
        </w:rPr>
      </w:pPr>
    </w:p>
    <w:p w:rsidR="007F76F4" w:rsidRDefault="007F76F4" w:rsidP="007F76F4">
      <w:pPr>
        <w:rPr>
          <w:u w:val="single"/>
        </w:rPr>
      </w:pPr>
      <w:r w:rsidRPr="000C5E6E">
        <w:rPr>
          <w:u w:val="single"/>
        </w:rPr>
        <w:t>Na skierowaniu w uwagach należy podać sposób utrwalania rozmazu</w:t>
      </w:r>
    </w:p>
    <w:p w:rsidR="007F76F4" w:rsidRPr="00ED2517" w:rsidRDefault="007F76F4" w:rsidP="007F76F4">
      <w:pPr>
        <w:rPr>
          <w:u w:val="single"/>
        </w:rPr>
      </w:pPr>
    </w:p>
    <w:p w:rsidR="007F76F4" w:rsidRDefault="007F76F4" w:rsidP="007F76F4">
      <w:r w:rsidRPr="000C5E6E">
        <w:t>Do utrwalania rozmazów można stosować:</w:t>
      </w:r>
    </w:p>
    <w:p w:rsidR="007F76F4" w:rsidRPr="000C5E6E" w:rsidRDefault="007F76F4" w:rsidP="007F76F4"/>
    <w:p w:rsidR="007F76F4" w:rsidRDefault="007F76F4" w:rsidP="007F76F4">
      <w:pPr>
        <w:numPr>
          <w:ilvl w:val="0"/>
          <w:numId w:val="2"/>
        </w:numPr>
        <w:contextualSpacing/>
        <w:jc w:val="both"/>
      </w:pPr>
      <w:r w:rsidRPr="000C5E6E">
        <w:t>Komercyjne utrwalacze w aerozolu lub atomizerze (</w:t>
      </w:r>
      <w:proofErr w:type="spellStart"/>
      <w:r w:rsidRPr="000C5E6E">
        <w:t>CytoFix</w:t>
      </w:r>
      <w:proofErr w:type="spellEnd"/>
      <w:r w:rsidRPr="000C5E6E">
        <w:t xml:space="preserve">, </w:t>
      </w:r>
      <w:proofErr w:type="spellStart"/>
      <w:r w:rsidRPr="000C5E6E">
        <w:t>BioFix</w:t>
      </w:r>
      <w:proofErr w:type="spellEnd"/>
      <w:r w:rsidRPr="000C5E6E">
        <w:t xml:space="preserve"> </w:t>
      </w:r>
      <w:proofErr w:type="spellStart"/>
      <w:r w:rsidRPr="000C5E6E">
        <w:t>itp</w:t>
      </w:r>
      <w:proofErr w:type="spellEnd"/>
      <w:r w:rsidRPr="000C5E6E">
        <w:t>). Preparaty utrwalać w pozycji poziomej poprzez dokładne, obfite spryskanie całego rozmazu. Postępowanie dokładnie zgodnie z zasadami podanymi przez producenta utrwalacza gwarantuje najlepsze wyniki utrwalania. Można przesyłać po wysuszeniu.</w:t>
      </w:r>
    </w:p>
    <w:p w:rsidR="007F76F4" w:rsidRPr="000C5E6E" w:rsidRDefault="007F76F4" w:rsidP="007F76F4">
      <w:pPr>
        <w:ind w:left="720"/>
        <w:contextualSpacing/>
        <w:jc w:val="both"/>
      </w:pPr>
    </w:p>
    <w:p w:rsidR="007F76F4" w:rsidRDefault="007F76F4" w:rsidP="007F76F4">
      <w:pPr>
        <w:numPr>
          <w:ilvl w:val="0"/>
          <w:numId w:val="2"/>
        </w:numPr>
        <w:contextualSpacing/>
        <w:jc w:val="both"/>
      </w:pPr>
      <w:r w:rsidRPr="000C5E6E">
        <w:t xml:space="preserve"> Alkohol etylowy 96% - zanurzyć preparaty na ok. 15 min. Następnie można przesyłać po wysuszeniu.</w:t>
      </w:r>
    </w:p>
    <w:p w:rsidR="007F76F4" w:rsidRPr="000C5E6E" w:rsidRDefault="007F76F4" w:rsidP="007F76F4">
      <w:pPr>
        <w:contextualSpacing/>
        <w:jc w:val="both"/>
      </w:pPr>
    </w:p>
    <w:p w:rsidR="007F76F4" w:rsidRDefault="007F76F4" w:rsidP="007F76F4">
      <w:pPr>
        <w:numPr>
          <w:ilvl w:val="0"/>
          <w:numId w:val="2"/>
        </w:numPr>
        <w:contextualSpacing/>
        <w:jc w:val="both"/>
      </w:pPr>
      <w:r w:rsidRPr="000C5E6E">
        <w:t>Utrwalone rozmazy należy przesłać do pracowni diagnostycznej w najszybciej jak to jest możliwe.</w:t>
      </w:r>
    </w:p>
    <w:p w:rsidR="007F76F4" w:rsidRPr="000C5E6E" w:rsidRDefault="007F76F4" w:rsidP="007F76F4">
      <w:pPr>
        <w:contextualSpacing/>
        <w:jc w:val="both"/>
      </w:pPr>
    </w:p>
    <w:p w:rsidR="007F76F4" w:rsidRPr="000C5E6E" w:rsidRDefault="007F76F4" w:rsidP="007F76F4">
      <w:pPr>
        <w:numPr>
          <w:ilvl w:val="0"/>
          <w:numId w:val="2"/>
        </w:numPr>
        <w:contextualSpacing/>
        <w:jc w:val="both"/>
      </w:pPr>
      <w:r w:rsidRPr="000C5E6E">
        <w:t>Pracownia może odmówić wykonywania badań z preparatów nieprawidłowo utrwalonych.</w:t>
      </w:r>
    </w:p>
    <w:p w:rsidR="007F76F4" w:rsidRPr="000C5E6E" w:rsidRDefault="007F76F4" w:rsidP="007F76F4">
      <w:pPr>
        <w:spacing w:line="360" w:lineRule="auto"/>
      </w:pPr>
    </w:p>
    <w:p w:rsidR="007F76F4" w:rsidRPr="000C5E6E" w:rsidRDefault="007F76F4" w:rsidP="007F76F4">
      <w:pPr>
        <w:spacing w:line="360" w:lineRule="auto"/>
      </w:pPr>
    </w:p>
    <w:p w:rsidR="007F76F4" w:rsidRDefault="007F76F4" w:rsidP="007F76F4"/>
    <w:p w:rsidR="007F76F4" w:rsidRDefault="007F76F4" w:rsidP="007F76F4"/>
    <w:p w:rsidR="007F76F4" w:rsidRDefault="007F76F4" w:rsidP="007F76F4"/>
    <w:p w:rsidR="007F76F4" w:rsidRDefault="007F76F4" w:rsidP="007F76F4"/>
    <w:p w:rsidR="007F76F4" w:rsidRDefault="007F76F4" w:rsidP="007F76F4"/>
    <w:p w:rsidR="007F76F4" w:rsidRDefault="007F76F4" w:rsidP="007F76F4"/>
    <w:p w:rsidR="00613D80" w:rsidRDefault="00613D80">
      <w:bookmarkStart w:id="7" w:name="_GoBack"/>
      <w:bookmarkEnd w:id="7"/>
    </w:p>
    <w:sectPr w:rsidR="0061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DBC"/>
    <w:multiLevelType w:val="hybridMultilevel"/>
    <w:tmpl w:val="B216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217B"/>
    <w:multiLevelType w:val="hybridMultilevel"/>
    <w:tmpl w:val="FF24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4FBD"/>
    <w:multiLevelType w:val="hybridMultilevel"/>
    <w:tmpl w:val="1EEA4F4E"/>
    <w:lvl w:ilvl="0" w:tplc="0B3C7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F4"/>
    <w:rsid w:val="00613D80"/>
    <w:rsid w:val="007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7973-99B0-45B4-A086-E4F48C8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6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6F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Barlik</dc:creator>
  <cp:keywords/>
  <dc:description/>
  <cp:lastModifiedBy>Magdalena Barlik</cp:lastModifiedBy>
  <cp:revision>1</cp:revision>
  <dcterms:created xsi:type="dcterms:W3CDTF">2017-11-20T14:02:00Z</dcterms:created>
  <dcterms:modified xsi:type="dcterms:W3CDTF">2017-11-20T14:03:00Z</dcterms:modified>
</cp:coreProperties>
</file>